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819BDE" w14:textId="77777777" w:rsidR="00197F75" w:rsidRPr="00197F75" w:rsidRDefault="00197F75" w:rsidP="00197F75">
      <w:pPr>
        <w:pStyle w:val="berschrift1"/>
      </w:pPr>
      <w:r>
        <w:t>Hoja de soluciones del experimento n.º 1 – Haremos que se encienda una lámpara</w:t>
      </w:r>
    </w:p>
    <w:p w14:paraId="6A455835" w14:textId="77777777" w:rsidR="008B4844" w:rsidRPr="00197F75" w:rsidRDefault="008B4844" w:rsidP="00197F75">
      <w:pPr>
        <w:pStyle w:val="berschrift2"/>
      </w:pPr>
      <w:r>
        <w:t>Ejemplo de solución de tarea temática</w:t>
      </w:r>
    </w:p>
    <w:p w14:paraId="0155CAD1" w14:textId="77777777" w:rsidR="006571AA" w:rsidRPr="00197F75" w:rsidRDefault="006571AA" w:rsidP="006571AA">
      <w:pPr>
        <w:rPr>
          <w:rFonts w:ascii="Arial" w:hAnsi="Arial" w:cs="Arial"/>
        </w:rPr>
      </w:pPr>
      <w:r>
        <w:rPr>
          <w:rFonts w:ascii="Arial" w:hAnsi="Arial"/>
        </w:rPr>
        <w:t xml:space="preserve">Solo es importante encender el LED en las tareas experimentales. </w:t>
      </w:r>
    </w:p>
    <w:p w14:paraId="53525412" w14:textId="77777777" w:rsidR="00E1562C" w:rsidRPr="00197F75" w:rsidRDefault="00E1562C" w:rsidP="00197F75">
      <w:pPr>
        <w:pStyle w:val="berschrift2"/>
      </w:pPr>
      <w:r>
        <w:t>Evaluación de la tarea experimental</w:t>
      </w:r>
    </w:p>
    <w:p w14:paraId="18700D76" w14:textId="77777777" w:rsidR="006571AA" w:rsidRPr="00197F75" w:rsidRDefault="001641CA" w:rsidP="001641CA">
      <w:pPr>
        <w:pStyle w:val="Listenabsatz"/>
        <w:numPr>
          <w:ilvl w:val="0"/>
          <w:numId w:val="39"/>
        </w:numPr>
        <w:rPr>
          <w:rFonts w:ascii="Arial" w:hAnsi="Arial" w:cs="Arial"/>
        </w:rPr>
      </w:pPr>
      <w:r>
        <w:rPr>
          <w:rFonts w:ascii="Arial" w:hAnsi="Arial"/>
        </w:rPr>
        <w:t>En este experimento no es importante cómo está conectado el LED con la batería. Una de las dos posiciones de interruptor posibles permite que circule la corriente en una dirección que hará que el LED se encienda. De ello aprendemos:</w:t>
      </w:r>
      <w:r>
        <w:rPr>
          <w:rFonts w:ascii="Arial" w:hAnsi="Arial"/>
        </w:rPr>
        <w:br/>
      </w:r>
    </w:p>
    <w:p w14:paraId="1DC11B6C" w14:textId="77777777" w:rsidR="006571AA" w:rsidRPr="00197F75" w:rsidRDefault="006571AA" w:rsidP="006571AA">
      <w:pPr>
        <w:pStyle w:val="Listenabsatz"/>
        <w:numPr>
          <w:ilvl w:val="0"/>
          <w:numId w:val="40"/>
        </w:numPr>
        <w:rPr>
          <w:rFonts w:ascii="Arial" w:hAnsi="Arial" w:cs="Arial"/>
        </w:rPr>
      </w:pPr>
      <w:r>
        <w:rPr>
          <w:rFonts w:ascii="Arial" w:hAnsi="Arial"/>
        </w:rPr>
        <w:t>El interruptor deslizante de nuestro soporte de batería no permite que circule corriente si se encuentra en la posición central («apagado»). Con las dos posiciones de interruptor de los extremos (completamente a la izquierda o derecha) podemos cambiar la dirección en que circula la corriente.</w:t>
      </w:r>
    </w:p>
    <w:p w14:paraId="1445B084" w14:textId="77777777" w:rsidR="006571AA" w:rsidRPr="00197F75" w:rsidRDefault="006571AA" w:rsidP="006571AA">
      <w:pPr>
        <w:pStyle w:val="Listenabsatz"/>
        <w:numPr>
          <w:ilvl w:val="0"/>
          <w:numId w:val="40"/>
        </w:numPr>
        <w:rPr>
          <w:rFonts w:ascii="Arial" w:hAnsi="Arial" w:cs="Arial"/>
        </w:rPr>
      </w:pPr>
      <w:r>
        <w:rPr>
          <w:rFonts w:ascii="Arial" w:hAnsi="Arial"/>
        </w:rPr>
        <w:t>Un LED es una lámpara que solo se enciende cuando la corriente circula a través de ella en la dirección correcta. De todos modos, las personas las usan a gusto porque consumen poca electricidad, apenas se calientan y tienen una vida útil mucho mayor que una «lámpara incandescente».</w:t>
      </w:r>
    </w:p>
    <w:p w14:paraId="509166DC" w14:textId="77777777" w:rsidR="006571AA" w:rsidRPr="00197F75" w:rsidRDefault="006571AA" w:rsidP="006571AA">
      <w:pPr>
        <w:pStyle w:val="Listenabsatz"/>
        <w:numPr>
          <w:ilvl w:val="0"/>
          <w:numId w:val="39"/>
        </w:numPr>
        <w:rPr>
          <w:rFonts w:ascii="Arial" w:hAnsi="Arial" w:cs="Arial"/>
        </w:rPr>
      </w:pPr>
      <w:r>
        <w:rPr>
          <w:rFonts w:ascii="Arial" w:hAnsi="Arial"/>
        </w:rPr>
        <w:t>En cuanto se desenchufa un solo conector, se interrumpe todo el circuito eléctrico y el LED se apaga.</w:t>
      </w:r>
    </w:p>
    <w:p w14:paraId="7523D485" w14:textId="77777777" w:rsidR="006571AA" w:rsidRPr="00197F75" w:rsidRDefault="001257A4" w:rsidP="006571AA">
      <w:pPr>
        <w:pStyle w:val="Listenabsatz"/>
        <w:numPr>
          <w:ilvl w:val="0"/>
          <w:numId w:val="39"/>
        </w:numPr>
        <w:rPr>
          <w:rFonts w:ascii="Arial" w:hAnsi="Arial" w:cs="Arial"/>
        </w:rPr>
      </w:pPr>
      <w:r>
        <w:rPr>
          <w:rFonts w:ascii="Arial" w:hAnsi="Arial"/>
        </w:rPr>
        <w:t>Con el cambio de conector se cambió a su vez el sentido de circulación de la corriente. En este caso, un LED que se ha encendido anteriormente, no volverá a encenderse. Sin embargo, con el interruptor puedes ajustar el sentido de circulación de la corriente y hacer que el LED también se encienda con este cableado.</w:t>
      </w:r>
    </w:p>
    <w:p w14:paraId="7A9CE0E8" w14:textId="77777777" w:rsidR="006571AA" w:rsidRPr="00197F75" w:rsidRDefault="006571AA" w:rsidP="006571AA">
      <w:pPr>
        <w:pStyle w:val="Listenabsatz"/>
        <w:numPr>
          <w:ilvl w:val="0"/>
          <w:numId w:val="39"/>
        </w:numPr>
        <w:rPr>
          <w:rFonts w:ascii="Arial" w:hAnsi="Arial" w:cs="Arial"/>
        </w:rPr>
      </w:pPr>
      <w:r>
        <w:rPr>
          <w:rFonts w:ascii="Arial" w:hAnsi="Arial"/>
        </w:rPr>
        <w:t>El circuito se comporta igual que en 3. Es indistinto si se intercambia el conector de la lámpara o del soporte de batería – el efecto es el mismo.</w:t>
      </w:r>
    </w:p>
    <w:p w14:paraId="6F6D2861" w14:textId="77777777" w:rsidR="0036332F" w:rsidRPr="00197F75" w:rsidRDefault="0036332F">
      <w:pPr>
        <w:spacing w:after="0"/>
        <w:jc w:val="left"/>
        <w:rPr>
          <w:rFonts w:ascii="Arial" w:hAnsi="Arial" w:cs="Arial"/>
        </w:rPr>
      </w:pPr>
    </w:p>
    <w:sectPr w:rsidR="0036332F" w:rsidRPr="00197F75" w:rsidSect="00E96821">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24A40" w14:textId="77777777" w:rsidR="006571AA" w:rsidRDefault="006571AA">
      <w:r>
        <w:separator/>
      </w:r>
    </w:p>
  </w:endnote>
  <w:endnote w:type="continuationSeparator" w:id="0">
    <w:p w14:paraId="4F69330B" w14:textId="77777777" w:rsidR="006571AA" w:rsidRDefault="0065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2360F" w14:textId="77777777" w:rsidR="006571AA" w:rsidRDefault="006571AA">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9096F" w14:textId="77777777" w:rsidR="006571AA" w:rsidRDefault="006571AA">
    <w:pPr>
      <w:pStyle w:val="Fuzeile"/>
    </w:pPr>
    <w:r>
      <w:tab/>
    </w:r>
    <w:r>
      <w:tab/>
    </w:r>
    <w:r>
      <w:fldChar w:fldCharType="begin"/>
    </w:r>
    <w:r>
      <w:instrText>PAGE   \* MERGEFORMAT</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CC79E" w14:textId="77777777" w:rsidR="006571AA" w:rsidRDefault="006571A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B2F412" w14:textId="77777777" w:rsidR="006571AA" w:rsidRDefault="006571AA">
      <w:r>
        <w:separator/>
      </w:r>
    </w:p>
  </w:footnote>
  <w:footnote w:type="continuationSeparator" w:id="0">
    <w:p w14:paraId="43CD6654" w14:textId="77777777" w:rsidR="006571AA" w:rsidRDefault="00657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5667B" w14:textId="77777777" w:rsidR="006571AA" w:rsidRDefault="006571AA" w:rsidP="00E96821">
    <w:pPr>
      <w:pStyle w:val="Kopfzeile"/>
    </w:pPr>
    <w:r>
      <w:rPr>
        <w:szCs w:val="24"/>
        <w:highlight w:val="yellow"/>
      </w:rPr>
      <w:t>EJE TEMÁTICO</w:t>
    </w:r>
    <w:r>
      <w:t xml:space="preserve"> </w:t>
    </w:r>
    <w:r>
      <w:tab/>
    </w:r>
    <w:r>
      <w:tab/>
    </w:r>
    <w:r>
      <w:rPr>
        <w:noProof/>
      </w:rPr>
      <w:drawing>
        <wp:inline distT="0" distB="0" distL="0" distR="0" wp14:anchorId="4EBBCD20" wp14:editId="15B91BD8">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69119" w14:textId="77777777" w:rsidR="006571AA" w:rsidRPr="00702A96" w:rsidRDefault="006571AA">
    <w:pPr>
      <w:pStyle w:val="Kopfzeile"/>
    </w:pPr>
    <w:r>
      <w:rPr>
        <w:noProof/>
      </w:rPr>
      <w:drawing>
        <wp:anchor distT="0" distB="0" distL="114300" distR="114300" simplePos="0" relativeHeight="251666432" behindDoc="0" locked="0" layoutInCell="1" allowOverlap="1" wp14:anchorId="796DF16D" wp14:editId="09D3D923">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Circuito eléctrico</w:t>
    </w:r>
    <w:r>
      <w:tab/>
    </w:r>
    <w:r>
      <w:tab/>
    </w:r>
    <w:r>
      <w:rPr>
        <w:noProof/>
      </w:rPr>
      <w:drawing>
        <wp:inline distT="0" distB="0" distL="0" distR="0" wp14:anchorId="1F3DD4FB" wp14:editId="22205CA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7E901" w14:textId="77777777" w:rsidR="006571AA" w:rsidRDefault="006571A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515931"/>
    <w:multiLevelType w:val="hybridMultilevel"/>
    <w:tmpl w:val="CC9AB6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9F6E3D"/>
    <w:multiLevelType w:val="hybridMultilevel"/>
    <w:tmpl w:val="4E6E287E"/>
    <w:lvl w:ilvl="0" w:tplc="BC50C95C">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B622EDD"/>
    <w:multiLevelType w:val="hybridMultilevel"/>
    <w:tmpl w:val="11DC9A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7"/>
  </w:num>
  <w:num w:numId="23">
    <w:abstractNumId w:val="19"/>
  </w:num>
  <w:num w:numId="24">
    <w:abstractNumId w:val="18"/>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9"/>
  </w:num>
  <w:num w:numId="38">
    <w:abstractNumId w:val="30"/>
  </w:num>
  <w:num w:numId="39">
    <w:abstractNumId w:val="20"/>
  </w:num>
  <w:num w:numId="40">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23F"/>
    <w:rsid w:val="00015DCF"/>
    <w:rsid w:val="000173AE"/>
    <w:rsid w:val="00022F11"/>
    <w:rsid w:val="0002512F"/>
    <w:rsid w:val="00030978"/>
    <w:rsid w:val="0003721F"/>
    <w:rsid w:val="0004739D"/>
    <w:rsid w:val="00047CC3"/>
    <w:rsid w:val="00051787"/>
    <w:rsid w:val="0005193D"/>
    <w:rsid w:val="000656BD"/>
    <w:rsid w:val="000722C8"/>
    <w:rsid w:val="000764B6"/>
    <w:rsid w:val="000768BA"/>
    <w:rsid w:val="000800CF"/>
    <w:rsid w:val="00083EE8"/>
    <w:rsid w:val="000A14B0"/>
    <w:rsid w:val="000A58E5"/>
    <w:rsid w:val="000B0025"/>
    <w:rsid w:val="000C0C66"/>
    <w:rsid w:val="000D0BC4"/>
    <w:rsid w:val="000D14B5"/>
    <w:rsid w:val="000D3717"/>
    <w:rsid w:val="000D4766"/>
    <w:rsid w:val="000D7297"/>
    <w:rsid w:val="000E0259"/>
    <w:rsid w:val="000E3792"/>
    <w:rsid w:val="000F05B0"/>
    <w:rsid w:val="000F7641"/>
    <w:rsid w:val="000F7CFD"/>
    <w:rsid w:val="001064D3"/>
    <w:rsid w:val="00111235"/>
    <w:rsid w:val="00115F2E"/>
    <w:rsid w:val="0012561E"/>
    <w:rsid w:val="001257A4"/>
    <w:rsid w:val="001278F5"/>
    <w:rsid w:val="00150FB2"/>
    <w:rsid w:val="001641CA"/>
    <w:rsid w:val="0017296D"/>
    <w:rsid w:val="00190988"/>
    <w:rsid w:val="0019251C"/>
    <w:rsid w:val="00197F75"/>
    <w:rsid w:val="001A449E"/>
    <w:rsid w:val="001A5093"/>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7A7E"/>
    <w:rsid w:val="002246F8"/>
    <w:rsid w:val="002323C1"/>
    <w:rsid w:val="00241577"/>
    <w:rsid w:val="00247250"/>
    <w:rsid w:val="00251174"/>
    <w:rsid w:val="0026611F"/>
    <w:rsid w:val="00271A2E"/>
    <w:rsid w:val="00280D4B"/>
    <w:rsid w:val="00282294"/>
    <w:rsid w:val="0028590F"/>
    <w:rsid w:val="002A22E6"/>
    <w:rsid w:val="002A5084"/>
    <w:rsid w:val="002A59FF"/>
    <w:rsid w:val="002A69BD"/>
    <w:rsid w:val="002D3AB9"/>
    <w:rsid w:val="002D3EE9"/>
    <w:rsid w:val="002E1AAA"/>
    <w:rsid w:val="002E78C1"/>
    <w:rsid w:val="002F099E"/>
    <w:rsid w:val="003024E6"/>
    <w:rsid w:val="00302C0E"/>
    <w:rsid w:val="003100A9"/>
    <w:rsid w:val="00311190"/>
    <w:rsid w:val="00323B3E"/>
    <w:rsid w:val="00323D2C"/>
    <w:rsid w:val="00341FA6"/>
    <w:rsid w:val="00342916"/>
    <w:rsid w:val="0035076B"/>
    <w:rsid w:val="0035785D"/>
    <w:rsid w:val="0036332F"/>
    <w:rsid w:val="00363EE2"/>
    <w:rsid w:val="00383D6D"/>
    <w:rsid w:val="00384F22"/>
    <w:rsid w:val="003859EA"/>
    <w:rsid w:val="00385F80"/>
    <w:rsid w:val="00390D1D"/>
    <w:rsid w:val="003A705F"/>
    <w:rsid w:val="003B0332"/>
    <w:rsid w:val="003C04E2"/>
    <w:rsid w:val="003C382C"/>
    <w:rsid w:val="003D0688"/>
    <w:rsid w:val="003D5BEC"/>
    <w:rsid w:val="003F4669"/>
    <w:rsid w:val="003F4A96"/>
    <w:rsid w:val="004012C1"/>
    <w:rsid w:val="004035E0"/>
    <w:rsid w:val="00413E03"/>
    <w:rsid w:val="004218BA"/>
    <w:rsid w:val="00434525"/>
    <w:rsid w:val="00435EA1"/>
    <w:rsid w:val="004377CB"/>
    <w:rsid w:val="00455455"/>
    <w:rsid w:val="004720C8"/>
    <w:rsid w:val="00472503"/>
    <w:rsid w:val="00476D4B"/>
    <w:rsid w:val="00482CE6"/>
    <w:rsid w:val="004B4D29"/>
    <w:rsid w:val="004B754D"/>
    <w:rsid w:val="004B7983"/>
    <w:rsid w:val="004C0EB1"/>
    <w:rsid w:val="004C138F"/>
    <w:rsid w:val="004C5167"/>
    <w:rsid w:val="004D2ABB"/>
    <w:rsid w:val="004D2E5B"/>
    <w:rsid w:val="004D5672"/>
    <w:rsid w:val="004D713B"/>
    <w:rsid w:val="004F6D89"/>
    <w:rsid w:val="004F7A0B"/>
    <w:rsid w:val="00514710"/>
    <w:rsid w:val="00543BE7"/>
    <w:rsid w:val="005723E3"/>
    <w:rsid w:val="00573ACB"/>
    <w:rsid w:val="00576668"/>
    <w:rsid w:val="005771A4"/>
    <w:rsid w:val="00580B6D"/>
    <w:rsid w:val="00591572"/>
    <w:rsid w:val="005940DF"/>
    <w:rsid w:val="00595245"/>
    <w:rsid w:val="005A49AD"/>
    <w:rsid w:val="005D2CD9"/>
    <w:rsid w:val="005D57A5"/>
    <w:rsid w:val="005E57C1"/>
    <w:rsid w:val="005F2AEE"/>
    <w:rsid w:val="005F6FD5"/>
    <w:rsid w:val="005F7EED"/>
    <w:rsid w:val="006158A5"/>
    <w:rsid w:val="00617BB0"/>
    <w:rsid w:val="00627AD4"/>
    <w:rsid w:val="00631B87"/>
    <w:rsid w:val="00632C08"/>
    <w:rsid w:val="00633EF6"/>
    <w:rsid w:val="00643E62"/>
    <w:rsid w:val="006501CF"/>
    <w:rsid w:val="006571AA"/>
    <w:rsid w:val="006618BE"/>
    <w:rsid w:val="006705D1"/>
    <w:rsid w:val="006735F3"/>
    <w:rsid w:val="006B181A"/>
    <w:rsid w:val="006B5425"/>
    <w:rsid w:val="006C14DA"/>
    <w:rsid w:val="006E3468"/>
    <w:rsid w:val="006E5040"/>
    <w:rsid w:val="006E72F4"/>
    <w:rsid w:val="006F1E9C"/>
    <w:rsid w:val="00702A96"/>
    <w:rsid w:val="00706578"/>
    <w:rsid w:val="00707A6B"/>
    <w:rsid w:val="00712BE5"/>
    <w:rsid w:val="00713BC0"/>
    <w:rsid w:val="00716839"/>
    <w:rsid w:val="00746124"/>
    <w:rsid w:val="00747754"/>
    <w:rsid w:val="00781597"/>
    <w:rsid w:val="00782ED3"/>
    <w:rsid w:val="00787F52"/>
    <w:rsid w:val="00792E95"/>
    <w:rsid w:val="007A2EA9"/>
    <w:rsid w:val="007A6A33"/>
    <w:rsid w:val="007A7500"/>
    <w:rsid w:val="007B2084"/>
    <w:rsid w:val="007B2DB2"/>
    <w:rsid w:val="007B3659"/>
    <w:rsid w:val="007B6235"/>
    <w:rsid w:val="007B6D52"/>
    <w:rsid w:val="007C282A"/>
    <w:rsid w:val="007D3E43"/>
    <w:rsid w:val="007E05F7"/>
    <w:rsid w:val="00805C2F"/>
    <w:rsid w:val="00817D41"/>
    <w:rsid w:val="00820994"/>
    <w:rsid w:val="008333A8"/>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5510"/>
    <w:rsid w:val="008B63FA"/>
    <w:rsid w:val="008C3CAB"/>
    <w:rsid w:val="008D6712"/>
    <w:rsid w:val="008E2C4A"/>
    <w:rsid w:val="008E43BD"/>
    <w:rsid w:val="008F3397"/>
    <w:rsid w:val="008F33A0"/>
    <w:rsid w:val="00906F27"/>
    <w:rsid w:val="009070DC"/>
    <w:rsid w:val="009203DC"/>
    <w:rsid w:val="0093224F"/>
    <w:rsid w:val="00937B5D"/>
    <w:rsid w:val="00945621"/>
    <w:rsid w:val="00945F8D"/>
    <w:rsid w:val="00946EE1"/>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01417"/>
    <w:rsid w:val="00A15743"/>
    <w:rsid w:val="00A23D81"/>
    <w:rsid w:val="00A247CC"/>
    <w:rsid w:val="00A304DD"/>
    <w:rsid w:val="00A33BF2"/>
    <w:rsid w:val="00A3546E"/>
    <w:rsid w:val="00A37375"/>
    <w:rsid w:val="00A53FC0"/>
    <w:rsid w:val="00A6360F"/>
    <w:rsid w:val="00A65482"/>
    <w:rsid w:val="00A655F1"/>
    <w:rsid w:val="00A7178B"/>
    <w:rsid w:val="00A77C0C"/>
    <w:rsid w:val="00A8531E"/>
    <w:rsid w:val="00A90946"/>
    <w:rsid w:val="00AA1A82"/>
    <w:rsid w:val="00AB189E"/>
    <w:rsid w:val="00AC0D20"/>
    <w:rsid w:val="00AC1D75"/>
    <w:rsid w:val="00AC5E5A"/>
    <w:rsid w:val="00AC6B0C"/>
    <w:rsid w:val="00AD5E38"/>
    <w:rsid w:val="00AE0F63"/>
    <w:rsid w:val="00AE7717"/>
    <w:rsid w:val="00AF0BB2"/>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E65"/>
    <w:rsid w:val="00B76AD1"/>
    <w:rsid w:val="00B820A9"/>
    <w:rsid w:val="00B92265"/>
    <w:rsid w:val="00B93F9E"/>
    <w:rsid w:val="00BB3A6C"/>
    <w:rsid w:val="00BD239F"/>
    <w:rsid w:val="00BD27A4"/>
    <w:rsid w:val="00BD40EC"/>
    <w:rsid w:val="00BF56BF"/>
    <w:rsid w:val="00BF665D"/>
    <w:rsid w:val="00C103BC"/>
    <w:rsid w:val="00C17CA0"/>
    <w:rsid w:val="00C35FA3"/>
    <w:rsid w:val="00C638FB"/>
    <w:rsid w:val="00C64AEF"/>
    <w:rsid w:val="00C66F6A"/>
    <w:rsid w:val="00C67E66"/>
    <w:rsid w:val="00C76238"/>
    <w:rsid w:val="00C77468"/>
    <w:rsid w:val="00C85E15"/>
    <w:rsid w:val="00C87168"/>
    <w:rsid w:val="00C91F34"/>
    <w:rsid w:val="00CA31C2"/>
    <w:rsid w:val="00CA34F3"/>
    <w:rsid w:val="00CB28D8"/>
    <w:rsid w:val="00CB38F5"/>
    <w:rsid w:val="00CB7495"/>
    <w:rsid w:val="00CC2E37"/>
    <w:rsid w:val="00CC6F83"/>
    <w:rsid w:val="00CC72FA"/>
    <w:rsid w:val="00CD0A93"/>
    <w:rsid w:val="00CD258D"/>
    <w:rsid w:val="00CD5D7E"/>
    <w:rsid w:val="00CE1A3F"/>
    <w:rsid w:val="00CF021F"/>
    <w:rsid w:val="00D247B8"/>
    <w:rsid w:val="00D27B86"/>
    <w:rsid w:val="00D418A3"/>
    <w:rsid w:val="00D462A8"/>
    <w:rsid w:val="00D6676D"/>
    <w:rsid w:val="00D805C6"/>
    <w:rsid w:val="00D83D7F"/>
    <w:rsid w:val="00D85B1D"/>
    <w:rsid w:val="00D8647C"/>
    <w:rsid w:val="00D93C74"/>
    <w:rsid w:val="00D94C19"/>
    <w:rsid w:val="00DA0436"/>
    <w:rsid w:val="00DA5B0E"/>
    <w:rsid w:val="00DB1666"/>
    <w:rsid w:val="00DD3EDD"/>
    <w:rsid w:val="00DE2CE3"/>
    <w:rsid w:val="00DE6379"/>
    <w:rsid w:val="00DE69CA"/>
    <w:rsid w:val="00DF11EF"/>
    <w:rsid w:val="00E00F64"/>
    <w:rsid w:val="00E10555"/>
    <w:rsid w:val="00E1381D"/>
    <w:rsid w:val="00E140C9"/>
    <w:rsid w:val="00E1562C"/>
    <w:rsid w:val="00E162E9"/>
    <w:rsid w:val="00E173E1"/>
    <w:rsid w:val="00E21D5A"/>
    <w:rsid w:val="00E427C2"/>
    <w:rsid w:val="00E43C39"/>
    <w:rsid w:val="00E475B4"/>
    <w:rsid w:val="00E51C01"/>
    <w:rsid w:val="00E56803"/>
    <w:rsid w:val="00E72F37"/>
    <w:rsid w:val="00E7622D"/>
    <w:rsid w:val="00E81DF1"/>
    <w:rsid w:val="00E8260F"/>
    <w:rsid w:val="00E82918"/>
    <w:rsid w:val="00E8709C"/>
    <w:rsid w:val="00E96821"/>
    <w:rsid w:val="00EA3AD3"/>
    <w:rsid w:val="00EA74EC"/>
    <w:rsid w:val="00EB5CCE"/>
    <w:rsid w:val="00EC0F53"/>
    <w:rsid w:val="00EC1DCF"/>
    <w:rsid w:val="00EE586D"/>
    <w:rsid w:val="00EF323F"/>
    <w:rsid w:val="00EF6673"/>
    <w:rsid w:val="00F250F1"/>
    <w:rsid w:val="00F3420A"/>
    <w:rsid w:val="00F40987"/>
    <w:rsid w:val="00F40AB1"/>
    <w:rsid w:val="00F42642"/>
    <w:rsid w:val="00F55307"/>
    <w:rsid w:val="00F55FDE"/>
    <w:rsid w:val="00F57954"/>
    <w:rsid w:val="00F62E7D"/>
    <w:rsid w:val="00F70A51"/>
    <w:rsid w:val="00F7267E"/>
    <w:rsid w:val="00F72795"/>
    <w:rsid w:val="00F7716E"/>
    <w:rsid w:val="00F96926"/>
    <w:rsid w:val="00FB0D10"/>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E3D0CDF"/>
  <w15:chartTrackingRefBased/>
  <w15:docId w15:val="{862BA5D2-2321-4AAE-9F29-AB350DFEF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197F75"/>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197F75"/>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FA58D6-0599-4FC4-9843-C69CE71A8BCC}"/>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1322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1594</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Falk, Stefan</dc:creator>
  <cp:keywords/>
  <dc:description/>
  <cp:lastModifiedBy>Mueck, Adrienne</cp:lastModifiedBy>
  <cp:revision>2</cp:revision>
  <cp:lastPrinted>2011-01-17T20:26:00Z</cp:lastPrinted>
  <dcterms:created xsi:type="dcterms:W3CDTF">2021-02-24T21:14:00Z</dcterms:created>
  <dcterms:modified xsi:type="dcterms:W3CDTF">2021-02-24T21:14:00Z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